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593883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388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16"/>
          <w:szCs w:val="16"/>
        </w:rPr>
      </w:pPr>
      <w:r w:rsidDel="00000000" w:rsidR="00000000" w:rsidRPr="00000000">
        <w:rPr>
          <w:u w:val="single"/>
          <w:rtl w:val="0"/>
        </w:rPr>
        <w:t xml:space="preserve">___________________________________</w:t>
        <w:br w:type="textWrapping"/>
      </w:r>
      <w:r w:rsidDel="00000000" w:rsidR="00000000" w:rsidRPr="00000000">
        <w:rPr>
          <w:rtl w:val="0"/>
        </w:rPr>
        <w:t xml:space="preserve">Health Teacher</w:t>
        <w:br w:type="textWrapping"/>
        <w:br w:type="textWrapping"/>
      </w:r>
      <w:r w:rsidDel="00000000" w:rsidR="00000000" w:rsidRPr="00000000">
        <w:rPr>
          <w:sz w:val="16"/>
          <w:szCs w:val="16"/>
          <w:rtl w:val="0"/>
        </w:rPr>
        <w:t xml:space="preserve">Blum, R.W. &amp; Rinehard, P.M. (1998). Reducing the Risk: Connections that make a difference in the lives of youth. Center for Adolescent Health and Development, University of Minnesota, Minneapolis. MN. http://www.teenpregnancy.org/works/pdf/Parental_Influence.pdf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